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jc w:val="center"/>
        <w:rPr/>
      </w:pPr>
      <w:r w:rsidDel="00000000" w:rsidR="00000000" w:rsidRPr="00000000">
        <w:rPr>
          <w:b w:val="1"/>
          <w:rtl w:val="0"/>
        </w:rPr>
        <w:t xml:space="preserve">“Open Readings Research Excellence Award”</w:t>
      </w:r>
      <w:r w:rsidDel="00000000" w:rsidR="00000000" w:rsidRPr="00000000">
        <w:rPr>
          <w:rtl w:val="0"/>
        </w:rPr>
      </w:r>
    </w:p>
    <w:p w:rsidR="00000000" w:rsidDel="00000000" w:rsidP="00000000" w:rsidRDefault="00000000" w:rsidRPr="00000000" w14:paraId="00000002">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60" w:before="0" w:line="254" w:lineRule="auto"/>
        <w:ind w:left="720" w:right="0" w:hanging="360"/>
        <w:jc w:val="left"/>
        <w:rPr/>
      </w:pPr>
      <w:r w:rsidDel="00000000" w:rsidR="00000000" w:rsidRPr="00000000">
        <w:rPr>
          <w:rFonts w:ascii="Aptos" w:cs="Aptos" w:eastAsia="Aptos" w:hAnsi="Aptos"/>
          <w:b w:val="0"/>
          <w:i w:val="0"/>
          <w:smallCaps w:val="0"/>
          <w:strike w:val="0"/>
          <w:color w:val="000000"/>
          <w:u w:val="none"/>
          <w:shd w:fill="auto" w:val="clear"/>
          <w:vertAlign w:val="baseline"/>
          <w:rtl w:val="0"/>
        </w:rPr>
        <w:t xml:space="preserve">Scientific publications</w:t>
      </w:r>
    </w:p>
    <w:p w:rsidR="00000000" w:rsidDel="00000000" w:rsidP="00000000" w:rsidRDefault="00000000" w:rsidRPr="00000000" w14:paraId="00000003">
      <w:pPr>
        <w:rPr/>
      </w:pPr>
      <w:r w:rsidDel="00000000" w:rsidR="00000000" w:rsidRPr="00000000">
        <w:rPr>
          <w:rtl w:val="0"/>
        </w:rPr>
        <w:t xml:space="preserve">Specify the number and name of publications with the DOI number, author list, your author positioning, journal classifications (Q1, Q2, Q3) and journal as stated in the example below</w:t>
      </w:r>
    </w:p>
    <w:tbl>
      <w:tblPr>
        <w:tblStyle w:val="Table1"/>
        <w:tblW w:w="9807.874015748033" w:type="dxa"/>
        <w:jc w:val="left"/>
        <w:tblLayout w:type="fixed"/>
        <w:tblLook w:val="0400"/>
      </w:tblPr>
      <w:tblGrid>
        <w:gridCol w:w="566.9291338582677"/>
        <w:gridCol w:w="1984.2519685039372"/>
        <w:gridCol w:w="1700.7874015748032"/>
        <w:gridCol w:w="2551.181102362205"/>
        <w:gridCol w:w="1020.472440944882"/>
        <w:gridCol w:w="850.3937007874016"/>
        <w:gridCol w:w="1133.8582677165355"/>
        <w:tblGridChange w:id="0">
          <w:tblGrid>
            <w:gridCol w:w="566.9291338582677"/>
            <w:gridCol w:w="1984.2519685039372"/>
            <w:gridCol w:w="1700.7874015748032"/>
            <w:gridCol w:w="2551.181102362205"/>
            <w:gridCol w:w="1020.472440944882"/>
            <w:gridCol w:w="850.3937007874016"/>
            <w:gridCol w:w="1133.8582677165355"/>
          </w:tblGrid>
        </w:tblGridChange>
      </w:tblGrid>
      <w:tr>
        <w:trPr>
          <w:cantSplit w:val="0"/>
          <w:trHeight w:val="237.978515625" w:hRule="atLeast"/>
          <w:tblHeader w:val="0"/>
        </w:trPr>
        <w:tc>
          <w:tcPr>
            <w:tcBorders>
              <w:top w:color="000000" w:space="0" w:sz="4" w:val="single"/>
              <w:left w:color="000000" w:space="0" w:sz="4" w:val="single"/>
              <w:bottom w:color="000000" w:space="0" w:sz="4" w:val="single"/>
              <w:right w:color="000000" w:space="0" w:sz="4" w:val="single"/>
            </w:tcBorders>
            <w:shd w:fill="auto" w:val="clear"/>
            <w:tcMar>
              <w:top w:w="0.0" w:type="dxa"/>
              <w:left w:w="108.0" w:type="dxa"/>
              <w:bottom w:w="0.0" w:type="dxa"/>
              <w:right w:w="108.0" w:type="dxa"/>
            </w:tcMar>
            <w:vAlign w:val="center"/>
          </w:tcPr>
          <w:p w:rsidR="00000000" w:rsidDel="00000000" w:rsidP="00000000" w:rsidRDefault="00000000" w:rsidRPr="00000000" w14:paraId="00000004">
            <w:pPr>
              <w:spacing w:after="0" w:line="240" w:lineRule="auto"/>
              <w:jc w:val="center"/>
              <w:rPr>
                <w:sz w:val="18"/>
                <w:szCs w:val="18"/>
              </w:rPr>
            </w:pPr>
            <w:r w:rsidDel="00000000" w:rsidR="00000000" w:rsidRPr="00000000">
              <w:rPr>
                <w:sz w:val="18"/>
                <w:szCs w:val="18"/>
                <w:rtl w:val="0"/>
              </w:rPr>
              <w:t xml:space="preserve">Nr.</w:t>
            </w:r>
          </w:p>
        </w:tc>
        <w:tc>
          <w:tcPr>
            <w:tcBorders>
              <w:top w:color="000000" w:space="0" w:sz="4" w:val="single"/>
              <w:left w:color="000000" w:space="0" w:sz="4" w:val="single"/>
              <w:bottom w:color="000000" w:space="0" w:sz="4" w:val="single"/>
              <w:right w:color="000000" w:space="0" w:sz="4" w:val="single"/>
            </w:tcBorders>
            <w:shd w:fill="auto" w:val="clear"/>
            <w:tcMar>
              <w:top w:w="0.0" w:type="dxa"/>
              <w:left w:w="108.0" w:type="dxa"/>
              <w:bottom w:w="0.0" w:type="dxa"/>
              <w:right w:w="108.0" w:type="dxa"/>
            </w:tcMar>
            <w:vAlign w:val="center"/>
          </w:tcPr>
          <w:p w:rsidR="00000000" w:rsidDel="00000000" w:rsidP="00000000" w:rsidRDefault="00000000" w:rsidRPr="00000000" w14:paraId="00000005">
            <w:pPr>
              <w:spacing w:after="0" w:line="240" w:lineRule="auto"/>
              <w:jc w:val="center"/>
              <w:rPr>
                <w:sz w:val="18"/>
                <w:szCs w:val="18"/>
              </w:rPr>
            </w:pPr>
            <w:r w:rsidDel="00000000" w:rsidR="00000000" w:rsidRPr="00000000">
              <w:rPr>
                <w:sz w:val="18"/>
                <w:szCs w:val="18"/>
                <w:rtl w:val="0"/>
              </w:rPr>
              <w:t xml:space="preserve">Name of publication</w:t>
            </w:r>
          </w:p>
        </w:tc>
        <w:tc>
          <w:tcPr>
            <w:tcBorders>
              <w:top w:color="000000" w:space="0" w:sz="4" w:val="single"/>
              <w:left w:color="000000" w:space="0" w:sz="4" w:val="single"/>
              <w:bottom w:color="000000" w:space="0" w:sz="4" w:val="single"/>
              <w:right w:color="000000" w:space="0" w:sz="4" w:val="single"/>
            </w:tcBorders>
            <w:shd w:fill="auto" w:val="clear"/>
            <w:tcMar>
              <w:top w:w="0.0" w:type="dxa"/>
              <w:left w:w="108.0" w:type="dxa"/>
              <w:bottom w:w="0.0" w:type="dxa"/>
              <w:right w:w="108.0" w:type="dxa"/>
            </w:tcMar>
            <w:vAlign w:val="center"/>
          </w:tcPr>
          <w:p w:rsidR="00000000" w:rsidDel="00000000" w:rsidP="00000000" w:rsidRDefault="00000000" w:rsidRPr="00000000" w14:paraId="00000006">
            <w:pPr>
              <w:spacing w:after="0" w:line="240" w:lineRule="auto"/>
              <w:jc w:val="center"/>
              <w:rPr>
                <w:sz w:val="18"/>
                <w:szCs w:val="18"/>
              </w:rPr>
            </w:pPr>
            <w:r w:rsidDel="00000000" w:rsidR="00000000" w:rsidRPr="00000000">
              <w:rPr>
                <w:sz w:val="18"/>
                <w:szCs w:val="18"/>
                <w:rtl w:val="0"/>
              </w:rPr>
              <w:t xml:space="preserve">DOI</w:t>
            </w:r>
          </w:p>
        </w:tc>
        <w:tc>
          <w:tcPr>
            <w:tcBorders>
              <w:top w:color="000000" w:space="0" w:sz="4" w:val="single"/>
              <w:left w:color="000000" w:space="0" w:sz="4" w:val="single"/>
              <w:bottom w:color="000000" w:space="0" w:sz="4" w:val="single"/>
              <w:right w:color="000000" w:space="0" w:sz="4" w:val="single"/>
            </w:tcBorders>
            <w:shd w:fill="auto" w:val="clear"/>
            <w:tcMar>
              <w:top w:w="0.0" w:type="dxa"/>
              <w:left w:w="10.0" w:type="dxa"/>
              <w:bottom w:w="0.0" w:type="dxa"/>
              <w:right w:w="10.0" w:type="dxa"/>
            </w:tcMar>
            <w:vAlign w:val="center"/>
          </w:tcPr>
          <w:p w:rsidR="00000000" w:rsidDel="00000000" w:rsidP="00000000" w:rsidRDefault="00000000" w:rsidRPr="00000000" w14:paraId="00000007">
            <w:pPr>
              <w:spacing w:after="0" w:line="240" w:lineRule="auto"/>
              <w:jc w:val="center"/>
              <w:rPr>
                <w:sz w:val="18"/>
                <w:szCs w:val="18"/>
              </w:rPr>
            </w:pPr>
            <w:r w:rsidDel="00000000" w:rsidR="00000000" w:rsidRPr="00000000">
              <w:rPr>
                <w:sz w:val="18"/>
                <w:szCs w:val="18"/>
                <w:rtl w:val="0"/>
              </w:rPr>
              <w:t xml:space="preserve">Authors</w:t>
            </w:r>
          </w:p>
        </w:tc>
        <w:tc>
          <w:tcPr>
            <w:tcBorders>
              <w:top w:color="000000" w:space="0" w:sz="4" w:val="single"/>
              <w:left w:color="000000" w:space="0" w:sz="4" w:val="single"/>
              <w:bottom w:color="000000" w:space="0" w:sz="4" w:val="single"/>
              <w:right w:color="000000" w:space="0" w:sz="4" w:val="single"/>
            </w:tcBorders>
            <w:shd w:fill="auto" w:val="clear"/>
            <w:tcMar>
              <w:top w:w="0.0" w:type="dxa"/>
              <w:left w:w="108.0" w:type="dxa"/>
              <w:bottom w:w="0.0" w:type="dxa"/>
              <w:right w:w="108.0" w:type="dxa"/>
            </w:tcMar>
            <w:vAlign w:val="center"/>
          </w:tcPr>
          <w:p w:rsidR="00000000" w:rsidDel="00000000" w:rsidP="00000000" w:rsidRDefault="00000000" w:rsidRPr="00000000" w14:paraId="00000008">
            <w:pPr>
              <w:spacing w:after="0" w:line="240" w:lineRule="auto"/>
              <w:jc w:val="center"/>
              <w:rPr>
                <w:sz w:val="18"/>
                <w:szCs w:val="18"/>
              </w:rPr>
            </w:pPr>
            <w:r w:rsidDel="00000000" w:rsidR="00000000" w:rsidRPr="00000000">
              <w:rPr>
                <w:sz w:val="18"/>
                <w:szCs w:val="18"/>
                <w:rtl w:val="0"/>
              </w:rPr>
              <w:t xml:space="preserve">Position</w:t>
            </w:r>
          </w:p>
        </w:tc>
        <w:tc>
          <w:tcPr>
            <w:tcBorders>
              <w:top w:color="000000" w:space="0" w:sz="4" w:val="single"/>
              <w:left w:color="000000" w:space="0" w:sz="4" w:val="single"/>
              <w:bottom w:color="000000" w:space="0" w:sz="4" w:val="single"/>
              <w:right w:color="000000" w:space="0" w:sz="4" w:val="single"/>
            </w:tcBorders>
            <w:shd w:fill="auto" w:val="clear"/>
            <w:tcMar>
              <w:top w:w="0.0" w:type="dxa"/>
              <w:left w:w="108.0" w:type="dxa"/>
              <w:bottom w:w="0.0" w:type="dxa"/>
              <w:right w:w="108.0" w:type="dxa"/>
            </w:tcMar>
            <w:vAlign w:val="center"/>
          </w:tcPr>
          <w:p w:rsidR="00000000" w:rsidDel="00000000" w:rsidP="00000000" w:rsidRDefault="00000000" w:rsidRPr="00000000" w14:paraId="00000009">
            <w:pPr>
              <w:spacing w:after="0" w:line="240" w:lineRule="auto"/>
              <w:jc w:val="center"/>
              <w:rPr>
                <w:sz w:val="18"/>
                <w:szCs w:val="18"/>
              </w:rPr>
            </w:pPr>
            <w:r w:rsidDel="00000000" w:rsidR="00000000" w:rsidRPr="00000000">
              <w:rPr>
                <w:sz w:val="18"/>
                <w:szCs w:val="18"/>
                <w:rtl w:val="0"/>
              </w:rPr>
              <w:t xml:space="preserve">Class</w:t>
            </w:r>
          </w:p>
        </w:tc>
        <w:tc>
          <w:tcPr>
            <w:tcBorders>
              <w:top w:color="000000" w:space="0" w:sz="4" w:val="single"/>
              <w:left w:color="000000" w:space="0" w:sz="4" w:val="single"/>
              <w:bottom w:color="000000" w:space="0" w:sz="4" w:val="single"/>
              <w:right w:color="000000" w:space="0" w:sz="4" w:val="single"/>
            </w:tcBorders>
            <w:shd w:fill="auto" w:val="clear"/>
            <w:tcMar>
              <w:top w:w="0.0" w:type="dxa"/>
              <w:left w:w="10.0" w:type="dxa"/>
              <w:bottom w:w="0.0" w:type="dxa"/>
              <w:right w:w="10.0" w:type="dxa"/>
            </w:tcMar>
            <w:vAlign w:val="center"/>
          </w:tcPr>
          <w:p w:rsidR="00000000" w:rsidDel="00000000" w:rsidP="00000000" w:rsidRDefault="00000000" w:rsidRPr="00000000" w14:paraId="0000000A">
            <w:pPr>
              <w:spacing w:after="0" w:line="240" w:lineRule="auto"/>
              <w:jc w:val="center"/>
              <w:rPr>
                <w:sz w:val="18"/>
                <w:szCs w:val="18"/>
              </w:rPr>
            </w:pPr>
            <w:r w:rsidDel="00000000" w:rsidR="00000000" w:rsidRPr="00000000">
              <w:rPr>
                <w:sz w:val="18"/>
                <w:szCs w:val="18"/>
                <w:rtl w:val="0"/>
              </w:rPr>
              <w:t xml:space="preserve">Journal</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tcMar>
              <w:top w:w="0.0" w:type="dxa"/>
              <w:left w:w="108.0" w:type="dxa"/>
              <w:bottom w:w="0.0" w:type="dxa"/>
              <w:right w:w="108.0" w:type="dxa"/>
            </w:tcMar>
            <w:vAlign w:val="center"/>
          </w:tcPr>
          <w:p w:rsidR="00000000" w:rsidDel="00000000" w:rsidP="00000000" w:rsidRDefault="00000000" w:rsidRPr="00000000" w14:paraId="0000000B">
            <w:pPr>
              <w:spacing w:after="0" w:line="240" w:lineRule="auto"/>
              <w:jc w:val="center"/>
              <w:rPr>
                <w:sz w:val="18"/>
                <w:szCs w:val="18"/>
              </w:rPr>
            </w:pPr>
            <w:r w:rsidDel="00000000" w:rsidR="00000000" w:rsidRPr="00000000">
              <w:rPr>
                <w:sz w:val="18"/>
                <w:szCs w:val="18"/>
                <w:rtl w:val="0"/>
              </w:rPr>
              <w:t xml:space="preserve">1</w:t>
            </w:r>
          </w:p>
        </w:tc>
        <w:tc>
          <w:tcPr>
            <w:tcBorders>
              <w:top w:color="000000" w:space="0" w:sz="4" w:val="single"/>
              <w:left w:color="000000" w:space="0" w:sz="4" w:val="single"/>
              <w:bottom w:color="000000" w:space="0" w:sz="4" w:val="single"/>
              <w:right w:color="000000" w:space="0" w:sz="4" w:val="single"/>
            </w:tcBorders>
            <w:shd w:fill="auto" w:val="clear"/>
            <w:tcMar>
              <w:top w:w="0.0" w:type="dxa"/>
              <w:left w:w="108.0" w:type="dxa"/>
              <w:bottom w:w="0.0" w:type="dxa"/>
              <w:right w:w="108.0" w:type="dxa"/>
            </w:tcMar>
          </w:tcPr>
          <w:p w:rsidR="00000000" w:rsidDel="00000000" w:rsidP="00000000" w:rsidRDefault="00000000" w:rsidRPr="00000000" w14:paraId="0000000C">
            <w:pPr>
              <w:spacing w:after="0" w:line="240" w:lineRule="auto"/>
              <w:rPr>
                <w:sz w:val="18"/>
                <w:szCs w:val="18"/>
              </w:rPr>
            </w:pPr>
            <w:r w:rsidDel="00000000" w:rsidR="00000000" w:rsidRPr="00000000">
              <w:rPr>
                <w:sz w:val="18"/>
                <w:szCs w:val="18"/>
                <w:rtl w:val="0"/>
              </w:rPr>
              <w:t xml:space="preserve">Effects of femtosecond pulses in coffee roasts</w:t>
            </w:r>
          </w:p>
        </w:tc>
        <w:tc>
          <w:tcPr>
            <w:tcBorders>
              <w:top w:color="000000" w:space="0" w:sz="4" w:val="single"/>
              <w:left w:color="000000" w:space="0" w:sz="4" w:val="single"/>
              <w:bottom w:color="000000" w:space="0" w:sz="4" w:val="single"/>
              <w:right w:color="000000" w:space="0" w:sz="4" w:val="single"/>
            </w:tcBorders>
            <w:shd w:fill="auto" w:val="clear"/>
            <w:tcMar>
              <w:top w:w="0.0" w:type="dxa"/>
              <w:left w:w="108.0" w:type="dxa"/>
              <w:bottom w:w="0.0" w:type="dxa"/>
              <w:right w:w="108.0" w:type="dxa"/>
            </w:tcMar>
          </w:tcPr>
          <w:p w:rsidR="00000000" w:rsidDel="00000000" w:rsidP="00000000" w:rsidRDefault="00000000" w:rsidRPr="00000000" w14:paraId="0000000D">
            <w:pPr>
              <w:spacing w:after="0" w:line="240" w:lineRule="auto"/>
              <w:rPr>
                <w:sz w:val="18"/>
                <w:szCs w:val="18"/>
              </w:rPr>
            </w:pPr>
            <w:r w:rsidDel="00000000" w:rsidR="00000000" w:rsidRPr="00000000">
              <w:rPr>
                <w:sz w:val="18"/>
                <w:szCs w:val="18"/>
                <w:rtl w:val="0"/>
              </w:rPr>
              <w:t xml:space="preserve">https://doi.org/10.1134/j.bioactmat.2024.03.023</w:t>
            </w:r>
          </w:p>
        </w:tc>
        <w:tc>
          <w:tcPr>
            <w:tcBorders>
              <w:top w:color="000000" w:space="0" w:sz="4" w:val="single"/>
              <w:left w:color="000000" w:space="0" w:sz="4" w:val="single"/>
              <w:bottom w:color="000000" w:space="0" w:sz="4" w:val="single"/>
              <w:right w:color="000000" w:space="0" w:sz="4" w:val="single"/>
            </w:tcBorders>
            <w:shd w:fill="auto" w:val="clear"/>
            <w:tcMar>
              <w:top w:w="0.0" w:type="dxa"/>
              <w:left w:w="10.0" w:type="dxa"/>
              <w:bottom w:w="0.0" w:type="dxa"/>
              <w:right w:w="10.0" w:type="dxa"/>
            </w:tcMar>
          </w:tcPr>
          <w:p w:rsidR="00000000" w:rsidDel="00000000" w:rsidP="00000000" w:rsidRDefault="00000000" w:rsidRPr="00000000" w14:paraId="0000000E">
            <w:pPr>
              <w:spacing w:after="0" w:line="240" w:lineRule="auto"/>
              <w:rPr>
                <w:sz w:val="18"/>
                <w:szCs w:val="18"/>
              </w:rPr>
            </w:pPr>
            <w:r w:rsidDel="00000000" w:rsidR="00000000" w:rsidRPr="00000000">
              <w:rPr>
                <w:sz w:val="18"/>
                <w:szCs w:val="18"/>
                <w:rtl w:val="0"/>
              </w:rPr>
              <w:t xml:space="preserve">Anamarija Blomqvist, Dunyasha Bellomi, Yoshimitsu Mikhailova, Isidora Simonson, Jesus Venner</w:t>
            </w:r>
          </w:p>
        </w:tc>
        <w:tc>
          <w:tcPr>
            <w:tcBorders>
              <w:top w:color="000000" w:space="0" w:sz="4" w:val="single"/>
              <w:left w:color="000000" w:space="0" w:sz="4" w:val="single"/>
              <w:bottom w:color="000000" w:space="0" w:sz="4" w:val="single"/>
              <w:right w:color="000000" w:space="0" w:sz="4" w:val="single"/>
            </w:tcBorders>
            <w:shd w:fill="auto" w:val="clear"/>
            <w:tcMar>
              <w:top w:w="0.0" w:type="dxa"/>
              <w:left w:w="108.0" w:type="dxa"/>
              <w:bottom w:w="0.0" w:type="dxa"/>
              <w:right w:w="108.0" w:type="dxa"/>
            </w:tcMar>
            <w:vAlign w:val="center"/>
          </w:tcPr>
          <w:p w:rsidR="00000000" w:rsidDel="00000000" w:rsidP="00000000" w:rsidRDefault="00000000" w:rsidRPr="00000000" w14:paraId="0000000F">
            <w:pPr>
              <w:spacing w:after="0" w:line="240" w:lineRule="auto"/>
              <w:jc w:val="center"/>
              <w:rPr>
                <w:sz w:val="18"/>
                <w:szCs w:val="18"/>
              </w:rPr>
            </w:pPr>
            <w:r w:rsidDel="00000000" w:rsidR="00000000" w:rsidRPr="00000000">
              <w:rPr>
                <w:sz w:val="18"/>
                <w:szCs w:val="18"/>
                <w:rtl w:val="0"/>
              </w:rPr>
              <w:t xml:space="preserve">1st</w:t>
            </w:r>
          </w:p>
        </w:tc>
        <w:tc>
          <w:tcPr>
            <w:tcBorders>
              <w:top w:color="000000" w:space="0" w:sz="4" w:val="single"/>
              <w:left w:color="000000" w:space="0" w:sz="4" w:val="single"/>
              <w:bottom w:color="000000" w:space="0" w:sz="4" w:val="single"/>
              <w:right w:color="000000" w:space="0" w:sz="4" w:val="single"/>
            </w:tcBorders>
            <w:shd w:fill="auto" w:val="clear"/>
            <w:tcMar>
              <w:top w:w="0.0" w:type="dxa"/>
              <w:left w:w="108.0" w:type="dxa"/>
              <w:bottom w:w="0.0" w:type="dxa"/>
              <w:right w:w="108.0" w:type="dxa"/>
            </w:tcMar>
            <w:vAlign w:val="center"/>
          </w:tcPr>
          <w:p w:rsidR="00000000" w:rsidDel="00000000" w:rsidP="00000000" w:rsidRDefault="00000000" w:rsidRPr="00000000" w14:paraId="00000010">
            <w:pPr>
              <w:spacing w:after="0" w:line="240" w:lineRule="auto"/>
              <w:jc w:val="center"/>
              <w:rPr>
                <w:sz w:val="18"/>
                <w:szCs w:val="18"/>
              </w:rPr>
            </w:pPr>
            <w:r w:rsidDel="00000000" w:rsidR="00000000" w:rsidRPr="00000000">
              <w:rPr>
                <w:sz w:val="18"/>
                <w:szCs w:val="18"/>
                <w:rtl w:val="0"/>
              </w:rPr>
              <w:t xml:space="preserve">Q1</w:t>
            </w:r>
          </w:p>
        </w:tc>
        <w:tc>
          <w:tcPr>
            <w:tcBorders>
              <w:top w:color="000000" w:space="0" w:sz="4" w:val="single"/>
              <w:left w:color="000000" w:space="0" w:sz="4" w:val="single"/>
              <w:bottom w:color="000000" w:space="0" w:sz="4" w:val="single"/>
              <w:right w:color="000000" w:space="0" w:sz="4" w:val="single"/>
            </w:tcBorders>
            <w:shd w:fill="auto" w:val="clear"/>
            <w:tcMar>
              <w:top w:w="0.0" w:type="dxa"/>
              <w:left w:w="10.0" w:type="dxa"/>
              <w:bottom w:w="0.0" w:type="dxa"/>
              <w:right w:w="10.0" w:type="dxa"/>
            </w:tcMar>
          </w:tcPr>
          <w:p w:rsidR="00000000" w:rsidDel="00000000" w:rsidP="00000000" w:rsidRDefault="00000000" w:rsidRPr="00000000" w14:paraId="0000001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18"/>
                <w:szCs w:val="18"/>
              </w:rPr>
            </w:pPr>
            <w:r w:rsidDel="00000000" w:rsidR="00000000" w:rsidRPr="00000000">
              <w:rPr>
                <w:sz w:val="18"/>
                <w:szCs w:val="18"/>
                <w:rtl w:val="0"/>
              </w:rPr>
              <w:t xml:space="preserve">Advanced Materials</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tcMar>
              <w:top w:w="0.0" w:type="dxa"/>
              <w:left w:w="108.0" w:type="dxa"/>
              <w:bottom w:w="0.0" w:type="dxa"/>
              <w:right w:w="108.0" w:type="dxa"/>
            </w:tcMar>
            <w:vAlign w:val="center"/>
          </w:tcPr>
          <w:p w:rsidR="00000000" w:rsidDel="00000000" w:rsidP="00000000" w:rsidRDefault="00000000" w:rsidRPr="00000000" w14:paraId="00000012">
            <w:pPr>
              <w:spacing w:after="0" w:line="240" w:lineRule="auto"/>
              <w:jc w:val="center"/>
              <w:rPr>
                <w:sz w:val="18"/>
                <w:szCs w:val="18"/>
              </w:rPr>
            </w:pPr>
            <w:r w:rsidDel="00000000" w:rsidR="00000000" w:rsidRPr="00000000">
              <w:rPr>
                <w:sz w:val="18"/>
                <w:szCs w:val="18"/>
                <w:rtl w:val="0"/>
              </w:rPr>
              <w:t xml:space="preserve">2</w:t>
            </w:r>
          </w:p>
        </w:tc>
        <w:tc>
          <w:tcPr>
            <w:tcBorders>
              <w:top w:color="000000" w:space="0" w:sz="4" w:val="single"/>
              <w:left w:color="000000" w:space="0" w:sz="4" w:val="single"/>
              <w:bottom w:color="000000" w:space="0" w:sz="4" w:val="single"/>
              <w:right w:color="000000" w:space="0" w:sz="4" w:val="single"/>
            </w:tcBorders>
            <w:shd w:fill="auto" w:val="clear"/>
            <w:tcMar>
              <w:top w:w="0.0" w:type="dxa"/>
              <w:left w:w="108.0" w:type="dxa"/>
              <w:bottom w:w="0.0" w:type="dxa"/>
              <w:right w:w="108.0" w:type="dxa"/>
            </w:tcMar>
          </w:tcPr>
          <w:p w:rsidR="00000000" w:rsidDel="00000000" w:rsidP="00000000" w:rsidRDefault="00000000" w:rsidRPr="00000000" w14:paraId="00000013">
            <w:pPr>
              <w:spacing w:after="0" w:line="240" w:lineRule="auto"/>
              <w:rPr>
                <w:sz w:val="18"/>
                <w:szCs w:val="18"/>
              </w:rPr>
            </w:pPr>
            <w:r w:rsidDel="00000000" w:rsidR="00000000" w:rsidRPr="00000000">
              <w:rPr>
                <w:sz w:val="18"/>
                <w:szCs w:val="18"/>
                <w:rtl w:val="0"/>
              </w:rPr>
              <w:t xml:space="preserve">Nonlinear effects of a Twix bar</w:t>
            </w:r>
          </w:p>
        </w:tc>
        <w:tc>
          <w:tcPr>
            <w:tcBorders>
              <w:top w:color="000000" w:space="0" w:sz="4" w:val="single"/>
              <w:left w:color="000000" w:space="0" w:sz="4" w:val="single"/>
              <w:bottom w:color="000000" w:space="0" w:sz="4" w:val="single"/>
              <w:right w:color="000000" w:space="0" w:sz="4" w:val="single"/>
            </w:tcBorders>
            <w:shd w:fill="auto" w:val="clear"/>
            <w:tcMar>
              <w:top w:w="0.0" w:type="dxa"/>
              <w:left w:w="108.0" w:type="dxa"/>
              <w:bottom w:w="0.0" w:type="dxa"/>
              <w:right w:w="108.0" w:type="dxa"/>
            </w:tcMar>
          </w:tcPr>
          <w:p w:rsidR="00000000" w:rsidDel="00000000" w:rsidP="00000000" w:rsidRDefault="00000000" w:rsidRPr="00000000" w14:paraId="00000014">
            <w:pPr>
              <w:spacing w:after="0" w:line="240" w:lineRule="auto"/>
              <w:rPr>
                <w:sz w:val="18"/>
                <w:szCs w:val="18"/>
              </w:rPr>
            </w:pPr>
            <w:r w:rsidDel="00000000" w:rsidR="00000000" w:rsidRPr="00000000">
              <w:rPr>
                <w:sz w:val="18"/>
                <w:szCs w:val="18"/>
                <w:rtl w:val="0"/>
              </w:rPr>
              <w:t xml:space="preserve">https://doi.org/10.1048/j.bioactmat.2023.09.023</w:t>
            </w:r>
          </w:p>
        </w:tc>
        <w:tc>
          <w:tcPr>
            <w:tcBorders>
              <w:top w:color="000000" w:space="0" w:sz="4" w:val="single"/>
              <w:left w:color="000000" w:space="0" w:sz="4" w:val="single"/>
              <w:bottom w:color="000000" w:space="0" w:sz="4" w:val="single"/>
              <w:right w:color="000000" w:space="0" w:sz="4" w:val="single"/>
            </w:tcBorders>
            <w:shd w:fill="auto" w:val="clear"/>
            <w:tcMar>
              <w:top w:w="0.0" w:type="dxa"/>
              <w:left w:w="10.0" w:type="dxa"/>
              <w:bottom w:w="0.0" w:type="dxa"/>
              <w:right w:w="10.0" w:type="dxa"/>
            </w:tcMar>
          </w:tcPr>
          <w:p w:rsidR="00000000" w:rsidDel="00000000" w:rsidP="00000000" w:rsidRDefault="00000000" w:rsidRPr="00000000" w14:paraId="00000015">
            <w:pPr>
              <w:spacing w:after="0" w:line="240" w:lineRule="auto"/>
              <w:rPr>
                <w:sz w:val="18"/>
                <w:szCs w:val="18"/>
              </w:rPr>
            </w:pPr>
            <w:r w:rsidDel="00000000" w:rsidR="00000000" w:rsidRPr="00000000">
              <w:rPr>
                <w:sz w:val="18"/>
                <w:szCs w:val="18"/>
                <w:rtl w:val="0"/>
              </w:rPr>
              <w:t xml:space="preserve">Karsten Koster, Gianluca Andersson, Anamarija Blomqvist, Travers Nieddu</w:t>
            </w:r>
          </w:p>
        </w:tc>
        <w:tc>
          <w:tcPr>
            <w:tcBorders>
              <w:top w:color="000000" w:space="0" w:sz="4" w:val="single"/>
              <w:left w:color="000000" w:space="0" w:sz="4" w:val="single"/>
              <w:bottom w:color="000000" w:space="0" w:sz="4" w:val="single"/>
              <w:right w:color="000000" w:space="0" w:sz="4" w:val="single"/>
            </w:tcBorders>
            <w:shd w:fill="auto" w:val="clear"/>
            <w:tcMar>
              <w:top w:w="0.0" w:type="dxa"/>
              <w:left w:w="108.0" w:type="dxa"/>
              <w:bottom w:w="0.0" w:type="dxa"/>
              <w:right w:w="108.0" w:type="dxa"/>
            </w:tcMar>
            <w:vAlign w:val="center"/>
          </w:tcPr>
          <w:p w:rsidR="00000000" w:rsidDel="00000000" w:rsidP="00000000" w:rsidRDefault="00000000" w:rsidRPr="00000000" w14:paraId="00000016">
            <w:pPr>
              <w:spacing w:after="0" w:line="240" w:lineRule="auto"/>
              <w:jc w:val="center"/>
              <w:rPr>
                <w:sz w:val="18"/>
                <w:szCs w:val="18"/>
              </w:rPr>
            </w:pPr>
            <w:r w:rsidDel="00000000" w:rsidR="00000000" w:rsidRPr="00000000">
              <w:rPr>
                <w:sz w:val="18"/>
                <w:szCs w:val="18"/>
                <w:rtl w:val="0"/>
              </w:rPr>
              <w:t xml:space="preserve">3rd</w:t>
            </w:r>
          </w:p>
        </w:tc>
        <w:tc>
          <w:tcPr>
            <w:tcBorders>
              <w:top w:color="000000" w:space="0" w:sz="4" w:val="single"/>
              <w:left w:color="000000" w:space="0" w:sz="4" w:val="single"/>
              <w:bottom w:color="000000" w:space="0" w:sz="4" w:val="single"/>
              <w:right w:color="000000" w:space="0" w:sz="4" w:val="single"/>
            </w:tcBorders>
            <w:shd w:fill="auto" w:val="clear"/>
            <w:tcMar>
              <w:top w:w="0.0" w:type="dxa"/>
              <w:left w:w="108.0" w:type="dxa"/>
              <w:bottom w:w="0.0" w:type="dxa"/>
              <w:right w:w="108.0" w:type="dxa"/>
            </w:tcMar>
            <w:vAlign w:val="center"/>
          </w:tcPr>
          <w:p w:rsidR="00000000" w:rsidDel="00000000" w:rsidP="00000000" w:rsidRDefault="00000000" w:rsidRPr="00000000" w14:paraId="00000017">
            <w:pPr>
              <w:spacing w:after="0" w:line="240" w:lineRule="auto"/>
              <w:jc w:val="center"/>
              <w:rPr>
                <w:sz w:val="18"/>
                <w:szCs w:val="18"/>
              </w:rPr>
            </w:pPr>
            <w:r w:rsidDel="00000000" w:rsidR="00000000" w:rsidRPr="00000000">
              <w:rPr>
                <w:sz w:val="18"/>
                <w:szCs w:val="18"/>
                <w:rtl w:val="0"/>
              </w:rPr>
              <w:t xml:space="preserve">Q3</w:t>
            </w:r>
          </w:p>
        </w:tc>
        <w:tc>
          <w:tcPr>
            <w:tcBorders>
              <w:top w:color="000000" w:space="0" w:sz="4" w:val="single"/>
              <w:left w:color="000000" w:space="0" w:sz="4" w:val="single"/>
              <w:bottom w:color="000000" w:space="0" w:sz="4" w:val="single"/>
              <w:right w:color="000000" w:space="0" w:sz="4" w:val="single"/>
            </w:tcBorders>
            <w:shd w:fill="auto" w:val="clear"/>
            <w:tcMar>
              <w:top w:w="0.0" w:type="dxa"/>
              <w:left w:w="10.0" w:type="dxa"/>
              <w:bottom w:w="0.0" w:type="dxa"/>
              <w:right w:w="10.0" w:type="dxa"/>
            </w:tcMar>
          </w:tcPr>
          <w:p w:rsidR="00000000" w:rsidDel="00000000" w:rsidP="00000000" w:rsidRDefault="00000000" w:rsidRPr="00000000" w14:paraId="0000001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18"/>
                <w:szCs w:val="18"/>
              </w:rPr>
            </w:pPr>
            <w:r w:rsidDel="00000000" w:rsidR="00000000" w:rsidRPr="00000000">
              <w:rPr>
                <w:sz w:val="18"/>
                <w:szCs w:val="18"/>
                <w:rtl w:val="0"/>
              </w:rPr>
              <w:t xml:space="preserve">Frontiers in physics</w:t>
            </w:r>
          </w:p>
        </w:tc>
      </w:tr>
    </w:tbl>
    <w:p w:rsidR="00000000" w:rsidDel="00000000" w:rsidP="00000000" w:rsidRDefault="00000000" w:rsidRPr="00000000" w14:paraId="00000019">
      <w:pPr>
        <w:rPr/>
      </w:pPr>
      <w:r w:rsidDel="00000000" w:rsidR="00000000" w:rsidRPr="00000000">
        <w:rPr>
          <w:rtl w:val="0"/>
        </w:rPr>
      </w:r>
    </w:p>
    <w:p w:rsidR="00000000" w:rsidDel="00000000" w:rsidP="00000000" w:rsidRDefault="00000000" w:rsidRPr="00000000" w14:paraId="0000001A">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60" w:before="0" w:line="254" w:lineRule="auto"/>
        <w:ind w:left="720" w:right="0" w:hanging="360"/>
        <w:jc w:val="left"/>
        <w:rPr/>
      </w:pPr>
      <w:r w:rsidDel="00000000" w:rsidR="00000000" w:rsidRPr="00000000">
        <w:rPr>
          <w:rFonts w:ascii="Aptos" w:cs="Aptos" w:eastAsia="Aptos" w:hAnsi="Aptos"/>
          <w:b w:val="0"/>
          <w:i w:val="0"/>
          <w:smallCaps w:val="0"/>
          <w:strike w:val="0"/>
          <w:color w:val="000000"/>
          <w:sz w:val="22"/>
          <w:szCs w:val="22"/>
          <w:u w:val="none"/>
          <w:shd w:fill="auto" w:val="clear"/>
          <w:vertAlign w:val="baseline"/>
          <w:rtl w:val="0"/>
        </w:rPr>
        <w:t xml:space="preserve">Oral and poster presentations</w:t>
      </w:r>
    </w:p>
    <w:p w:rsidR="00000000" w:rsidDel="00000000" w:rsidP="00000000" w:rsidRDefault="00000000" w:rsidRPr="00000000" w14:paraId="0000001B">
      <w:pPr>
        <w:rPr/>
      </w:pPr>
      <w:r w:rsidDel="00000000" w:rsidR="00000000" w:rsidRPr="00000000">
        <w:rPr>
          <w:rtl w:val="0"/>
        </w:rPr>
        <w:t xml:space="preserve">Specify the number of oral and poster presentations at conferences, whether it was an international or national conference, as stated in example below.</w:t>
      </w:r>
    </w:p>
    <w:tbl>
      <w:tblPr>
        <w:tblStyle w:val="Table2"/>
        <w:tblW w:w="9829.133858267716" w:type="dxa"/>
        <w:jc w:val="left"/>
        <w:tblLayout w:type="fixed"/>
        <w:tblLook w:val="0400"/>
      </w:tblPr>
      <w:tblGrid>
        <w:gridCol w:w="566.9291338582677"/>
        <w:gridCol w:w="3968.5039370078744"/>
        <w:gridCol w:w="2976.377952755906"/>
        <w:gridCol w:w="900"/>
        <w:gridCol w:w="1417.3228346456694"/>
        <w:tblGridChange w:id="0">
          <w:tblGrid>
            <w:gridCol w:w="566.9291338582677"/>
            <w:gridCol w:w="3968.5039370078744"/>
            <w:gridCol w:w="2976.377952755906"/>
            <w:gridCol w:w="900"/>
            <w:gridCol w:w="1417.3228346456694"/>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tcMar>
              <w:top w:w="0.0" w:type="dxa"/>
              <w:left w:w="108.0" w:type="dxa"/>
              <w:bottom w:w="0.0" w:type="dxa"/>
              <w:right w:w="108.0" w:type="dxa"/>
            </w:tcMar>
            <w:vAlign w:val="center"/>
          </w:tcPr>
          <w:p w:rsidR="00000000" w:rsidDel="00000000" w:rsidP="00000000" w:rsidRDefault="00000000" w:rsidRPr="00000000" w14:paraId="0000001C">
            <w:pPr>
              <w:spacing w:after="0" w:line="240" w:lineRule="auto"/>
              <w:jc w:val="center"/>
              <w:rPr>
                <w:sz w:val="18"/>
                <w:szCs w:val="18"/>
              </w:rPr>
            </w:pPr>
            <w:r w:rsidDel="00000000" w:rsidR="00000000" w:rsidRPr="00000000">
              <w:rPr>
                <w:sz w:val="18"/>
                <w:szCs w:val="18"/>
                <w:rtl w:val="0"/>
              </w:rPr>
              <w:t xml:space="preserve">Nr.</w:t>
            </w:r>
          </w:p>
        </w:tc>
        <w:tc>
          <w:tcPr>
            <w:tcBorders>
              <w:top w:color="000000" w:space="0" w:sz="4" w:val="single"/>
              <w:left w:color="000000" w:space="0" w:sz="4" w:val="single"/>
              <w:bottom w:color="000000" w:space="0" w:sz="4" w:val="single"/>
              <w:right w:color="000000" w:space="0" w:sz="4" w:val="single"/>
            </w:tcBorders>
            <w:shd w:fill="auto" w:val="clear"/>
            <w:tcMar>
              <w:top w:w="0.0" w:type="dxa"/>
              <w:left w:w="108.0" w:type="dxa"/>
              <w:bottom w:w="0.0" w:type="dxa"/>
              <w:right w:w="108.0" w:type="dxa"/>
            </w:tcMar>
            <w:vAlign w:val="center"/>
          </w:tcPr>
          <w:p w:rsidR="00000000" w:rsidDel="00000000" w:rsidP="00000000" w:rsidRDefault="00000000" w:rsidRPr="00000000" w14:paraId="0000001D">
            <w:pPr>
              <w:spacing w:after="0" w:line="240" w:lineRule="auto"/>
              <w:jc w:val="center"/>
              <w:rPr>
                <w:sz w:val="18"/>
                <w:szCs w:val="18"/>
              </w:rPr>
            </w:pPr>
            <w:r w:rsidDel="00000000" w:rsidR="00000000" w:rsidRPr="00000000">
              <w:rPr>
                <w:sz w:val="18"/>
                <w:szCs w:val="18"/>
                <w:rtl w:val="0"/>
              </w:rPr>
              <w:t xml:space="preserve">Name of presentation</w:t>
            </w:r>
          </w:p>
        </w:tc>
        <w:tc>
          <w:tcPr>
            <w:tcBorders>
              <w:top w:color="000000" w:space="0" w:sz="4" w:val="single"/>
              <w:left w:color="000000" w:space="0" w:sz="4" w:val="single"/>
              <w:bottom w:color="000000" w:space="0" w:sz="4" w:val="single"/>
              <w:right w:color="000000" w:space="0" w:sz="4" w:val="single"/>
            </w:tcBorders>
            <w:shd w:fill="auto" w:val="clear"/>
            <w:tcMar>
              <w:top w:w="0.0" w:type="dxa"/>
              <w:left w:w="108.0" w:type="dxa"/>
              <w:bottom w:w="0.0" w:type="dxa"/>
              <w:right w:w="108.0" w:type="dxa"/>
            </w:tcMar>
            <w:vAlign w:val="center"/>
          </w:tcPr>
          <w:p w:rsidR="00000000" w:rsidDel="00000000" w:rsidP="00000000" w:rsidRDefault="00000000" w:rsidRPr="00000000" w14:paraId="0000001E">
            <w:pPr>
              <w:spacing w:after="0" w:line="240" w:lineRule="auto"/>
              <w:jc w:val="center"/>
              <w:rPr>
                <w:sz w:val="18"/>
                <w:szCs w:val="18"/>
              </w:rPr>
            </w:pPr>
            <w:r w:rsidDel="00000000" w:rsidR="00000000" w:rsidRPr="00000000">
              <w:rPr>
                <w:sz w:val="18"/>
                <w:szCs w:val="18"/>
                <w:rtl w:val="0"/>
              </w:rPr>
              <w:t xml:space="preserve">Conference name</w:t>
            </w:r>
          </w:p>
        </w:tc>
        <w:tc>
          <w:tcPr>
            <w:tcBorders>
              <w:top w:color="000000" w:space="0" w:sz="4" w:val="single"/>
              <w:left w:color="000000" w:space="0" w:sz="4" w:val="single"/>
              <w:bottom w:color="000000" w:space="0" w:sz="4" w:val="single"/>
              <w:right w:color="000000" w:space="0" w:sz="4" w:val="single"/>
            </w:tcBorders>
            <w:shd w:fill="auto" w:val="clear"/>
            <w:tcMar>
              <w:top w:w="0.0" w:type="dxa"/>
              <w:left w:w="108.0" w:type="dxa"/>
              <w:bottom w:w="0.0" w:type="dxa"/>
              <w:right w:w="108.0" w:type="dxa"/>
            </w:tcMar>
            <w:vAlign w:val="center"/>
          </w:tcPr>
          <w:p w:rsidR="00000000" w:rsidDel="00000000" w:rsidP="00000000" w:rsidRDefault="00000000" w:rsidRPr="00000000" w14:paraId="0000001F">
            <w:pPr>
              <w:spacing w:after="0" w:line="240" w:lineRule="auto"/>
              <w:jc w:val="center"/>
              <w:rPr>
                <w:sz w:val="18"/>
                <w:szCs w:val="18"/>
              </w:rPr>
            </w:pPr>
            <w:r w:rsidDel="00000000" w:rsidR="00000000" w:rsidRPr="00000000">
              <w:rPr>
                <w:sz w:val="18"/>
                <w:szCs w:val="18"/>
                <w:rtl w:val="0"/>
              </w:rPr>
              <w:t xml:space="preserve">Type</w:t>
            </w:r>
          </w:p>
        </w:tc>
        <w:tc>
          <w:tcPr>
            <w:tcBorders>
              <w:top w:color="000000" w:space="0" w:sz="4" w:val="single"/>
              <w:left w:color="000000" w:space="0" w:sz="4" w:val="single"/>
              <w:bottom w:color="000000" w:space="0" w:sz="4" w:val="single"/>
              <w:right w:color="000000" w:space="0" w:sz="4" w:val="single"/>
            </w:tcBorders>
            <w:shd w:fill="auto" w:val="clear"/>
            <w:tcMar>
              <w:top w:w="0.0" w:type="dxa"/>
              <w:left w:w="10.0" w:type="dxa"/>
              <w:bottom w:w="0.0" w:type="dxa"/>
              <w:right w:w="10.0" w:type="dxa"/>
            </w:tcMar>
            <w:vAlign w:val="center"/>
          </w:tcPr>
          <w:p w:rsidR="00000000" w:rsidDel="00000000" w:rsidP="00000000" w:rsidRDefault="00000000" w:rsidRPr="00000000" w14:paraId="00000020">
            <w:pPr>
              <w:spacing w:after="0" w:line="240" w:lineRule="auto"/>
              <w:jc w:val="center"/>
              <w:rPr>
                <w:sz w:val="18"/>
                <w:szCs w:val="18"/>
              </w:rPr>
            </w:pPr>
            <w:r w:rsidDel="00000000" w:rsidR="00000000" w:rsidRPr="00000000">
              <w:rPr>
                <w:sz w:val="18"/>
                <w:szCs w:val="18"/>
                <w:rtl w:val="0"/>
              </w:rPr>
              <w:t xml:space="preserve">National/</w:t>
            </w:r>
          </w:p>
          <w:p w:rsidR="00000000" w:rsidDel="00000000" w:rsidP="00000000" w:rsidRDefault="00000000" w:rsidRPr="00000000" w14:paraId="00000021">
            <w:pPr>
              <w:spacing w:after="0" w:line="240" w:lineRule="auto"/>
              <w:jc w:val="center"/>
              <w:rPr>
                <w:sz w:val="18"/>
                <w:szCs w:val="18"/>
              </w:rPr>
            </w:pPr>
            <w:r w:rsidDel="00000000" w:rsidR="00000000" w:rsidRPr="00000000">
              <w:rPr>
                <w:sz w:val="18"/>
                <w:szCs w:val="18"/>
                <w:rtl w:val="0"/>
              </w:rPr>
              <w:t xml:space="preserve">International</w:t>
            </w:r>
          </w:p>
        </w:tc>
      </w:tr>
      <w:tr>
        <w:trPr>
          <w:cantSplit w:val="0"/>
          <w:trHeight w:val="166.46484375" w:hRule="atLeast"/>
          <w:tblHeader w:val="0"/>
        </w:trPr>
        <w:tc>
          <w:tcPr>
            <w:tcBorders>
              <w:top w:color="000000" w:space="0" w:sz="4" w:val="single"/>
              <w:left w:color="000000" w:space="0" w:sz="4" w:val="single"/>
              <w:bottom w:color="000000" w:space="0" w:sz="4" w:val="single"/>
              <w:right w:color="000000" w:space="0" w:sz="4" w:val="single"/>
            </w:tcBorders>
            <w:shd w:fill="auto" w:val="clear"/>
            <w:tcMar>
              <w:top w:w="0.0" w:type="dxa"/>
              <w:left w:w="108.0" w:type="dxa"/>
              <w:bottom w:w="0.0" w:type="dxa"/>
              <w:right w:w="108.0" w:type="dxa"/>
            </w:tcMar>
            <w:vAlign w:val="center"/>
          </w:tcPr>
          <w:p w:rsidR="00000000" w:rsidDel="00000000" w:rsidP="00000000" w:rsidRDefault="00000000" w:rsidRPr="00000000" w14:paraId="00000022">
            <w:pPr>
              <w:spacing w:after="0" w:line="240" w:lineRule="auto"/>
              <w:jc w:val="center"/>
              <w:rPr>
                <w:sz w:val="18"/>
                <w:szCs w:val="18"/>
              </w:rPr>
            </w:pPr>
            <w:r w:rsidDel="00000000" w:rsidR="00000000" w:rsidRPr="00000000">
              <w:rPr>
                <w:sz w:val="18"/>
                <w:szCs w:val="18"/>
                <w:rtl w:val="0"/>
              </w:rPr>
              <w:t xml:space="preserve">1</w:t>
            </w:r>
          </w:p>
        </w:tc>
        <w:tc>
          <w:tcPr>
            <w:tcBorders>
              <w:top w:color="000000" w:space="0" w:sz="4" w:val="single"/>
              <w:left w:color="000000" w:space="0" w:sz="4" w:val="single"/>
              <w:bottom w:color="000000" w:space="0" w:sz="4" w:val="single"/>
              <w:right w:color="000000" w:space="0" w:sz="4" w:val="single"/>
            </w:tcBorders>
            <w:shd w:fill="auto" w:val="clear"/>
            <w:tcMar>
              <w:top w:w="0.0" w:type="dxa"/>
              <w:left w:w="108.0" w:type="dxa"/>
              <w:bottom w:w="0.0" w:type="dxa"/>
              <w:right w:w="108.0" w:type="dxa"/>
            </w:tcMar>
          </w:tcPr>
          <w:p w:rsidR="00000000" w:rsidDel="00000000" w:rsidP="00000000" w:rsidRDefault="00000000" w:rsidRPr="00000000" w14:paraId="00000023">
            <w:pPr>
              <w:spacing w:after="0" w:line="240" w:lineRule="auto"/>
              <w:rPr>
                <w:sz w:val="18"/>
                <w:szCs w:val="18"/>
              </w:rPr>
            </w:pPr>
            <w:r w:rsidDel="00000000" w:rsidR="00000000" w:rsidRPr="00000000">
              <w:rPr>
                <w:sz w:val="18"/>
                <w:szCs w:val="18"/>
                <w:rtl w:val="0"/>
              </w:rPr>
              <w:t xml:space="preserve">Application of pico-second lasers in medical industry</w:t>
            </w:r>
          </w:p>
        </w:tc>
        <w:tc>
          <w:tcPr>
            <w:tcBorders>
              <w:top w:color="000000" w:space="0" w:sz="4" w:val="single"/>
              <w:left w:color="000000" w:space="0" w:sz="4" w:val="single"/>
              <w:bottom w:color="000000" w:space="0" w:sz="4" w:val="single"/>
              <w:right w:color="000000" w:space="0" w:sz="4" w:val="single"/>
            </w:tcBorders>
            <w:shd w:fill="auto" w:val="clear"/>
            <w:tcMar>
              <w:top w:w="0.0" w:type="dxa"/>
              <w:left w:w="108.0" w:type="dxa"/>
              <w:bottom w:w="0.0" w:type="dxa"/>
              <w:right w:w="108.0" w:type="dxa"/>
            </w:tcMar>
          </w:tcPr>
          <w:p w:rsidR="00000000" w:rsidDel="00000000" w:rsidP="00000000" w:rsidRDefault="00000000" w:rsidRPr="00000000" w14:paraId="00000024">
            <w:pPr>
              <w:spacing w:after="0" w:line="240" w:lineRule="auto"/>
              <w:rPr>
                <w:sz w:val="18"/>
                <w:szCs w:val="18"/>
              </w:rPr>
            </w:pPr>
            <w:r w:rsidDel="00000000" w:rsidR="00000000" w:rsidRPr="00000000">
              <w:rPr>
                <w:sz w:val="18"/>
                <w:szCs w:val="18"/>
                <w:rtl w:val="0"/>
              </w:rPr>
              <w:t xml:space="preserve">SPIE PW25 — Photonics West 2024, San Francisco, USA</w:t>
            </w:r>
          </w:p>
        </w:tc>
        <w:tc>
          <w:tcPr>
            <w:tcBorders>
              <w:top w:color="000000" w:space="0" w:sz="4" w:val="single"/>
              <w:left w:color="000000" w:space="0" w:sz="4" w:val="single"/>
              <w:bottom w:color="000000" w:space="0" w:sz="4" w:val="single"/>
              <w:right w:color="000000" w:space="0" w:sz="4" w:val="single"/>
            </w:tcBorders>
            <w:shd w:fill="auto" w:val="clear"/>
            <w:tcMar>
              <w:top w:w="0.0" w:type="dxa"/>
              <w:left w:w="108.0" w:type="dxa"/>
              <w:bottom w:w="0.0" w:type="dxa"/>
              <w:right w:w="108.0" w:type="dxa"/>
            </w:tcMar>
            <w:vAlign w:val="center"/>
          </w:tcPr>
          <w:p w:rsidR="00000000" w:rsidDel="00000000" w:rsidP="00000000" w:rsidRDefault="00000000" w:rsidRPr="00000000" w14:paraId="00000025">
            <w:pPr>
              <w:spacing w:after="0" w:line="240" w:lineRule="auto"/>
              <w:jc w:val="center"/>
              <w:rPr>
                <w:sz w:val="18"/>
                <w:szCs w:val="18"/>
              </w:rPr>
            </w:pPr>
            <w:r w:rsidDel="00000000" w:rsidR="00000000" w:rsidRPr="00000000">
              <w:rPr>
                <w:sz w:val="18"/>
                <w:szCs w:val="18"/>
                <w:rtl w:val="0"/>
              </w:rPr>
              <w:t xml:space="preserve">Oral</w:t>
            </w:r>
          </w:p>
        </w:tc>
        <w:tc>
          <w:tcPr>
            <w:tcBorders>
              <w:top w:color="000000" w:space="0" w:sz="4" w:val="single"/>
              <w:left w:color="000000" w:space="0" w:sz="4" w:val="single"/>
              <w:bottom w:color="000000" w:space="0" w:sz="4" w:val="single"/>
              <w:right w:color="000000" w:space="0" w:sz="4" w:val="single"/>
            </w:tcBorders>
            <w:shd w:fill="auto" w:val="clear"/>
            <w:tcMar>
              <w:top w:w="0.0" w:type="dxa"/>
              <w:left w:w="10.0" w:type="dxa"/>
              <w:bottom w:w="0.0" w:type="dxa"/>
              <w:right w:w="10.0" w:type="dxa"/>
            </w:tcMar>
            <w:vAlign w:val="center"/>
          </w:tcPr>
          <w:p w:rsidR="00000000" w:rsidDel="00000000" w:rsidP="00000000" w:rsidRDefault="00000000" w:rsidRPr="00000000" w14:paraId="00000026">
            <w:pPr>
              <w:spacing w:after="0" w:line="240" w:lineRule="auto"/>
              <w:jc w:val="center"/>
              <w:rPr>
                <w:sz w:val="18"/>
                <w:szCs w:val="18"/>
              </w:rPr>
            </w:pPr>
            <w:r w:rsidDel="00000000" w:rsidR="00000000" w:rsidRPr="00000000">
              <w:rPr>
                <w:sz w:val="18"/>
                <w:szCs w:val="18"/>
                <w:rtl w:val="0"/>
              </w:rPr>
              <w:t xml:space="preserve">International</w:t>
            </w:r>
          </w:p>
        </w:tc>
      </w:tr>
      <w:tr>
        <w:trPr>
          <w:cantSplit w:val="0"/>
          <w:trHeight w:val="166.46484375" w:hRule="atLeast"/>
          <w:tblHeader w:val="0"/>
        </w:trPr>
        <w:tc>
          <w:tcPr>
            <w:tcBorders>
              <w:top w:color="000000" w:space="0" w:sz="4" w:val="single"/>
              <w:left w:color="000000" w:space="0" w:sz="4" w:val="single"/>
              <w:bottom w:color="000000" w:space="0" w:sz="4" w:val="single"/>
              <w:right w:color="000000" w:space="0" w:sz="4" w:val="single"/>
            </w:tcBorders>
            <w:shd w:fill="auto" w:val="clear"/>
            <w:tcMar>
              <w:top w:w="0.0" w:type="dxa"/>
              <w:left w:w="108.0" w:type="dxa"/>
              <w:bottom w:w="0.0" w:type="dxa"/>
              <w:right w:w="108.0" w:type="dxa"/>
            </w:tcMar>
            <w:vAlign w:val="center"/>
          </w:tcPr>
          <w:p w:rsidR="00000000" w:rsidDel="00000000" w:rsidP="00000000" w:rsidRDefault="00000000" w:rsidRPr="00000000" w14:paraId="00000027">
            <w:pPr>
              <w:spacing w:after="0" w:line="240" w:lineRule="auto"/>
              <w:jc w:val="center"/>
              <w:rPr>
                <w:sz w:val="18"/>
                <w:szCs w:val="18"/>
              </w:rPr>
            </w:pPr>
            <w:r w:rsidDel="00000000" w:rsidR="00000000" w:rsidRPr="00000000">
              <w:rPr>
                <w:sz w:val="18"/>
                <w:szCs w:val="18"/>
                <w:rtl w:val="0"/>
              </w:rPr>
              <w:t xml:space="preserve">2</w:t>
            </w:r>
          </w:p>
        </w:tc>
        <w:tc>
          <w:tcPr>
            <w:tcBorders>
              <w:top w:color="000000" w:space="0" w:sz="4" w:val="single"/>
              <w:left w:color="000000" w:space="0" w:sz="4" w:val="single"/>
              <w:bottom w:color="000000" w:space="0" w:sz="4" w:val="single"/>
              <w:right w:color="000000" w:space="0" w:sz="4" w:val="single"/>
            </w:tcBorders>
            <w:shd w:fill="auto" w:val="clear"/>
            <w:tcMar>
              <w:top w:w="0.0" w:type="dxa"/>
              <w:left w:w="108.0" w:type="dxa"/>
              <w:bottom w:w="0.0" w:type="dxa"/>
              <w:right w:w="108.0" w:type="dxa"/>
            </w:tcMar>
          </w:tcPr>
          <w:p w:rsidR="00000000" w:rsidDel="00000000" w:rsidP="00000000" w:rsidRDefault="00000000" w:rsidRPr="00000000" w14:paraId="00000028">
            <w:pPr>
              <w:spacing w:after="0" w:line="240" w:lineRule="auto"/>
              <w:rPr>
                <w:sz w:val="18"/>
                <w:szCs w:val="18"/>
              </w:rPr>
            </w:pPr>
            <w:r w:rsidDel="00000000" w:rsidR="00000000" w:rsidRPr="00000000">
              <w:rPr>
                <w:sz w:val="18"/>
                <w:szCs w:val="18"/>
                <w:rtl w:val="0"/>
              </w:rPr>
              <w:t xml:space="preserve">Spectral properties of recycled plastics</w:t>
            </w:r>
          </w:p>
        </w:tc>
        <w:tc>
          <w:tcPr>
            <w:tcBorders>
              <w:top w:color="000000" w:space="0" w:sz="4" w:val="single"/>
              <w:left w:color="000000" w:space="0" w:sz="4" w:val="single"/>
              <w:bottom w:color="000000" w:space="0" w:sz="4" w:val="single"/>
              <w:right w:color="000000" w:space="0" w:sz="4" w:val="single"/>
            </w:tcBorders>
            <w:shd w:fill="auto" w:val="clear"/>
            <w:tcMar>
              <w:top w:w="0.0" w:type="dxa"/>
              <w:left w:w="108.0" w:type="dxa"/>
              <w:bottom w:w="0.0" w:type="dxa"/>
              <w:right w:w="108.0" w:type="dxa"/>
            </w:tcMar>
          </w:tcPr>
          <w:p w:rsidR="00000000" w:rsidDel="00000000" w:rsidP="00000000" w:rsidRDefault="00000000" w:rsidRPr="00000000" w14:paraId="00000029">
            <w:pPr>
              <w:spacing w:after="0" w:line="240" w:lineRule="auto"/>
              <w:rPr>
                <w:sz w:val="18"/>
                <w:szCs w:val="18"/>
              </w:rPr>
            </w:pPr>
            <w:r w:rsidDel="00000000" w:rsidR="00000000" w:rsidRPr="00000000">
              <w:rPr>
                <w:sz w:val="18"/>
                <w:szCs w:val="18"/>
                <w:rtl w:val="0"/>
              </w:rPr>
              <w:t xml:space="preserve">OPHO 2023 — Optoelectronics and Photonics, Opatija, Croatia</w:t>
            </w:r>
          </w:p>
        </w:tc>
        <w:tc>
          <w:tcPr>
            <w:tcBorders>
              <w:top w:color="000000" w:space="0" w:sz="4" w:val="single"/>
              <w:left w:color="000000" w:space="0" w:sz="4" w:val="single"/>
              <w:bottom w:color="000000" w:space="0" w:sz="4" w:val="single"/>
              <w:right w:color="000000" w:space="0" w:sz="4" w:val="single"/>
            </w:tcBorders>
            <w:shd w:fill="auto" w:val="clear"/>
            <w:tcMar>
              <w:top w:w="0.0" w:type="dxa"/>
              <w:left w:w="108.0" w:type="dxa"/>
              <w:bottom w:w="0.0" w:type="dxa"/>
              <w:right w:w="108.0" w:type="dxa"/>
            </w:tcMar>
            <w:vAlign w:val="center"/>
          </w:tcPr>
          <w:p w:rsidR="00000000" w:rsidDel="00000000" w:rsidP="00000000" w:rsidRDefault="00000000" w:rsidRPr="00000000" w14:paraId="0000002A">
            <w:pPr>
              <w:spacing w:after="0" w:line="240" w:lineRule="auto"/>
              <w:jc w:val="center"/>
              <w:rPr>
                <w:sz w:val="18"/>
                <w:szCs w:val="18"/>
              </w:rPr>
            </w:pPr>
            <w:r w:rsidDel="00000000" w:rsidR="00000000" w:rsidRPr="00000000">
              <w:rPr>
                <w:sz w:val="18"/>
                <w:szCs w:val="18"/>
                <w:rtl w:val="0"/>
              </w:rPr>
              <w:t xml:space="preserve">Poster</w:t>
            </w:r>
          </w:p>
        </w:tc>
        <w:tc>
          <w:tcPr>
            <w:tcBorders>
              <w:top w:color="000000" w:space="0" w:sz="4" w:val="single"/>
              <w:left w:color="000000" w:space="0" w:sz="4" w:val="single"/>
              <w:bottom w:color="000000" w:space="0" w:sz="4" w:val="single"/>
              <w:right w:color="000000" w:space="0" w:sz="4" w:val="single"/>
            </w:tcBorders>
            <w:shd w:fill="auto" w:val="clear"/>
            <w:tcMar>
              <w:top w:w="0.0" w:type="dxa"/>
              <w:left w:w="10.0" w:type="dxa"/>
              <w:bottom w:w="0.0" w:type="dxa"/>
              <w:right w:w="10.0" w:type="dxa"/>
            </w:tcMar>
            <w:vAlign w:val="center"/>
          </w:tcPr>
          <w:p w:rsidR="00000000" w:rsidDel="00000000" w:rsidP="00000000" w:rsidRDefault="00000000" w:rsidRPr="00000000" w14:paraId="0000002B">
            <w:pPr>
              <w:spacing w:after="0" w:line="240" w:lineRule="auto"/>
              <w:jc w:val="center"/>
              <w:rPr>
                <w:sz w:val="18"/>
                <w:szCs w:val="18"/>
              </w:rPr>
            </w:pPr>
            <w:r w:rsidDel="00000000" w:rsidR="00000000" w:rsidRPr="00000000">
              <w:rPr>
                <w:sz w:val="18"/>
                <w:szCs w:val="18"/>
                <w:rtl w:val="0"/>
              </w:rPr>
              <w:t xml:space="preserve">National</w:t>
            </w:r>
          </w:p>
        </w:tc>
      </w:tr>
    </w:tbl>
    <w:p w:rsidR="00000000" w:rsidDel="00000000" w:rsidP="00000000" w:rsidRDefault="00000000" w:rsidRPr="00000000" w14:paraId="0000002C">
      <w:pPr>
        <w:rPr/>
      </w:pPr>
      <w:r w:rsidDel="00000000" w:rsidR="00000000" w:rsidRPr="00000000">
        <w:rPr>
          <w:rtl w:val="0"/>
        </w:rPr>
      </w:r>
    </w:p>
    <w:p w:rsidR="00000000" w:rsidDel="00000000" w:rsidP="00000000" w:rsidRDefault="00000000" w:rsidRPr="00000000" w14:paraId="0000002D">
      <w:pPr>
        <w:rPr/>
      </w:pPr>
      <w:r w:rsidDel="00000000" w:rsidR="00000000" w:rsidRPr="00000000">
        <w:rPr>
          <w:rtl w:val="0"/>
        </w:rPr>
      </w:r>
    </w:p>
    <w:p w:rsidR="00000000" w:rsidDel="00000000" w:rsidP="00000000" w:rsidRDefault="00000000" w:rsidRPr="00000000" w14:paraId="0000002E">
      <w:pPr>
        <w:rPr/>
      </w:pPr>
      <w:r w:rsidDel="00000000" w:rsidR="00000000" w:rsidRPr="00000000">
        <w:br w:type="page"/>
      </w:r>
      <w:r w:rsidDel="00000000" w:rsidR="00000000" w:rsidRPr="00000000">
        <w:rPr>
          <w:rtl w:val="0"/>
        </w:rPr>
      </w:r>
    </w:p>
    <w:p w:rsidR="00000000" w:rsidDel="00000000" w:rsidP="00000000" w:rsidRDefault="00000000" w:rsidRPr="00000000" w14:paraId="0000002F">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60" w:before="0" w:line="254" w:lineRule="auto"/>
        <w:ind w:left="720" w:right="0" w:hanging="360"/>
        <w:jc w:val="left"/>
        <w:rPr/>
      </w:pPr>
      <w:r w:rsidDel="00000000" w:rsidR="00000000" w:rsidRPr="00000000">
        <w:rPr>
          <w:rtl w:val="0"/>
        </w:rPr>
        <w:t xml:space="preserve">Research made over the past two years (starting with 2023/01/01).</w:t>
      </w:r>
    </w:p>
    <w:p w:rsidR="00000000" w:rsidDel="00000000" w:rsidP="00000000" w:rsidRDefault="00000000" w:rsidRPr="00000000" w14:paraId="00000030">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54" w:lineRule="auto"/>
        <w:ind w:left="0" w:right="0" w:firstLine="0"/>
        <w:jc w:val="left"/>
        <w:rPr>
          <w:b w:val="1"/>
        </w:rPr>
      </w:pPr>
      <w:r w:rsidDel="00000000" w:rsidR="00000000" w:rsidRPr="00000000">
        <w:rPr>
          <w:rtl w:val="0"/>
        </w:rPr>
        <w:t xml:space="preserve">Give a general description of your research, the purpose, methodology, results, conclusions. You may include graphs, images and tables if needed. Signify the novelty of work, is it built upon older research or completely original. Describe the impact of the w</w:t>
      </w:r>
      <w:r w:rsidDel="00000000" w:rsidR="00000000" w:rsidRPr="00000000">
        <w:rPr>
          <w:rFonts w:ascii="Aptos" w:cs="Aptos" w:eastAsia="Aptos" w:hAnsi="Aptos"/>
          <w:b w:val="0"/>
          <w:i w:val="0"/>
          <w:smallCaps w:val="0"/>
          <w:strike w:val="0"/>
          <w:color w:val="000000"/>
          <w:sz w:val="22"/>
          <w:szCs w:val="22"/>
          <w:u w:val="none"/>
          <w:shd w:fill="auto" w:val="clear"/>
          <w:vertAlign w:val="baseline"/>
          <w:rtl w:val="0"/>
        </w:rPr>
        <w:t xml:space="preserve">ork </w:t>
      </w:r>
      <w:r w:rsidDel="00000000" w:rsidR="00000000" w:rsidRPr="00000000">
        <w:rPr>
          <w:rtl w:val="0"/>
        </w:rPr>
        <w:t xml:space="preserve">on the world, what are the possible applications. (Word limit: 1000 words)</w:t>
      </w:r>
      <w:r w:rsidDel="00000000" w:rsidR="00000000" w:rsidRPr="00000000">
        <w:rPr>
          <w:rtl w:val="0"/>
        </w:rPr>
      </w:r>
    </w:p>
    <w:p w:rsidR="00000000" w:rsidDel="00000000" w:rsidP="00000000" w:rsidRDefault="00000000" w:rsidRPr="00000000" w14:paraId="00000031">
      <w:pPr>
        <w:rPr/>
      </w:pPr>
      <w:r w:rsidDel="00000000" w:rsidR="00000000" w:rsidRPr="00000000">
        <w:rPr>
          <w:rtl w:val="0"/>
        </w:rPr>
      </w:r>
    </w:p>
    <w:p w:rsidR="00000000" w:rsidDel="00000000" w:rsidP="00000000" w:rsidRDefault="00000000" w:rsidRPr="00000000" w14:paraId="00000032">
      <w:pPr>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ptos"/>
  <w:font w:name="Play">
    <w:embedRegular w:fontKey="{00000000-0000-0000-0000-000000000000}" r:id="rId1" w:subsetted="0"/>
    <w:embedBold w:fontKey="{00000000-0000-0000-0000-000000000000}" r:id="rId2"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720" w:hanging="360"/>
      </w:pPr>
      <w:rPr/>
    </w:lvl>
    <w:lvl w:ilvl="1">
      <w:start w:val="1"/>
      <w:numFmt w:val="lowerLetter"/>
      <w:lvlText w:val="."/>
      <w:lvlJc w:val="left"/>
      <w:pPr>
        <w:ind w:left="1440" w:hanging="360"/>
      </w:pPr>
      <w:rPr/>
    </w:lvl>
    <w:lvl w:ilvl="2">
      <w:start w:val="1"/>
      <w:numFmt w:val="lowerRoman"/>
      <w:lvlText w:val="."/>
      <w:lvlJc w:val="right"/>
      <w:pPr>
        <w:ind w:left="2160" w:hanging="180"/>
      </w:pPr>
      <w:rPr/>
    </w:lvl>
    <w:lvl w:ilvl="3">
      <w:start w:val="1"/>
      <w:numFmt w:val="decimal"/>
      <w:lvlText w:val="."/>
      <w:lvlJc w:val="left"/>
      <w:pPr>
        <w:ind w:left="2880" w:hanging="360"/>
      </w:pPr>
      <w:rPr/>
    </w:lvl>
    <w:lvl w:ilvl="4">
      <w:start w:val="1"/>
      <w:numFmt w:val="lowerLetter"/>
      <w:lvlText w:val="."/>
      <w:lvlJc w:val="left"/>
      <w:pPr>
        <w:ind w:left="3600" w:hanging="360"/>
      </w:pPr>
      <w:rPr/>
    </w:lvl>
    <w:lvl w:ilvl="5">
      <w:start w:val="1"/>
      <w:numFmt w:val="lowerRoman"/>
      <w:lvlText w:val="."/>
      <w:lvlJc w:val="right"/>
      <w:pPr>
        <w:ind w:left="4320" w:hanging="180"/>
      </w:pPr>
      <w:rPr/>
    </w:lvl>
    <w:lvl w:ilvl="6">
      <w:start w:val="1"/>
      <w:numFmt w:val="decimal"/>
      <w:lvlText w:val="."/>
      <w:lvlJc w:val="left"/>
      <w:pPr>
        <w:ind w:left="5040" w:hanging="360"/>
      </w:pPr>
      <w:rPr/>
    </w:lvl>
    <w:lvl w:ilvl="7">
      <w:start w:val="1"/>
      <w:numFmt w:val="lowerLetter"/>
      <w:lvlText w:val="."/>
      <w:lvlJc w:val="left"/>
      <w:pPr>
        <w:ind w:left="5760" w:hanging="360"/>
      </w:pPr>
      <w:rPr/>
    </w:lvl>
    <w:lvl w:ilvl="8">
      <w:start w:val="1"/>
      <w:numFmt w:val="lowerRoman"/>
      <w:lvlText w:val="."/>
      <w:lvlJc w:val="right"/>
      <w:pPr>
        <w:ind w:left="6480" w:hanging="180"/>
      </w:pPr>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ptos" w:cs="Aptos" w:eastAsia="Aptos" w:hAnsi="Aptos"/>
        <w:sz w:val="22"/>
        <w:szCs w:val="22"/>
        <w:lang w:val="en-US"/>
      </w:rPr>
    </w:rPrDefault>
    <w:pPrDefault>
      <w:pPr>
        <w:spacing w:after="160" w:line="254"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80" w:before="360" w:lineRule="auto"/>
    </w:pPr>
    <w:rPr>
      <w:rFonts w:ascii="Play" w:cs="Play" w:eastAsia="Play" w:hAnsi="Play"/>
      <w:color w:val="0f4761"/>
      <w:sz w:val="40"/>
      <w:szCs w:val="40"/>
    </w:rPr>
  </w:style>
  <w:style w:type="paragraph" w:styleId="Heading2">
    <w:name w:val="heading 2"/>
    <w:basedOn w:val="Normal"/>
    <w:next w:val="Normal"/>
    <w:pPr>
      <w:keepNext w:val="1"/>
      <w:keepLines w:val="1"/>
      <w:spacing w:after="80" w:before="160" w:lineRule="auto"/>
    </w:pPr>
    <w:rPr>
      <w:rFonts w:ascii="Play" w:cs="Play" w:eastAsia="Play" w:hAnsi="Play"/>
      <w:color w:val="0f4761"/>
      <w:sz w:val="32"/>
      <w:szCs w:val="32"/>
    </w:rPr>
  </w:style>
  <w:style w:type="paragraph" w:styleId="Heading3">
    <w:name w:val="heading 3"/>
    <w:basedOn w:val="Normal"/>
    <w:next w:val="Normal"/>
    <w:pPr>
      <w:keepNext w:val="1"/>
      <w:keepLines w:val="1"/>
      <w:spacing w:after="80" w:before="160" w:lineRule="auto"/>
    </w:pPr>
    <w:rPr>
      <w:color w:val="0f4761"/>
      <w:sz w:val="28"/>
      <w:szCs w:val="28"/>
    </w:rPr>
  </w:style>
  <w:style w:type="paragraph" w:styleId="Heading4">
    <w:name w:val="heading 4"/>
    <w:basedOn w:val="Normal"/>
    <w:next w:val="Normal"/>
    <w:pPr>
      <w:keepNext w:val="1"/>
      <w:keepLines w:val="1"/>
      <w:spacing w:after="40" w:before="80" w:lineRule="auto"/>
    </w:pPr>
    <w:rPr>
      <w:i w:val="1"/>
      <w:color w:val="0f4761"/>
    </w:rPr>
  </w:style>
  <w:style w:type="paragraph" w:styleId="Heading5">
    <w:name w:val="heading 5"/>
    <w:basedOn w:val="Normal"/>
    <w:next w:val="Normal"/>
    <w:pPr>
      <w:keepNext w:val="1"/>
      <w:keepLines w:val="1"/>
      <w:spacing w:after="40" w:before="80" w:lineRule="auto"/>
    </w:pPr>
    <w:rPr>
      <w:color w:val="0f4761"/>
    </w:rPr>
  </w:style>
  <w:style w:type="paragraph" w:styleId="Heading6">
    <w:name w:val="heading 6"/>
    <w:basedOn w:val="Normal"/>
    <w:next w:val="Normal"/>
    <w:pPr>
      <w:keepNext w:val="1"/>
      <w:keepLines w:val="1"/>
      <w:spacing w:after="0" w:before="40" w:lineRule="auto"/>
    </w:pPr>
    <w:rPr>
      <w:i w:val="1"/>
      <w:color w:val="595959"/>
    </w:rPr>
  </w:style>
  <w:style w:type="paragraph" w:styleId="Title">
    <w:name w:val="Title"/>
    <w:basedOn w:val="Normal"/>
    <w:next w:val="Normal"/>
    <w:pPr>
      <w:spacing w:after="80" w:line="240" w:lineRule="auto"/>
    </w:pPr>
    <w:rPr>
      <w:rFonts w:ascii="Play" w:cs="Play" w:eastAsia="Play" w:hAnsi="Play"/>
      <w:sz w:val="56"/>
      <w:szCs w:val="56"/>
    </w:rPr>
  </w:style>
  <w:style w:type="paragraph" w:styleId="Normal" w:default="1">
    <w:name w:val="Normal"/>
    <w:qFormat w:val="1"/>
    <w:pPr>
      <w:suppressAutoHyphens w:val="1"/>
    </w:pPr>
  </w:style>
  <w:style w:type="paragraph" w:styleId="Heading1">
    <w:name w:val="heading 1"/>
    <w:basedOn w:val="Normal"/>
    <w:next w:val="Normal"/>
    <w:uiPriority w:val="9"/>
    <w:qFormat w:val="1"/>
    <w:pPr>
      <w:keepNext w:val="1"/>
      <w:keepLines w:val="1"/>
      <w:spacing w:after="80" w:before="360"/>
      <w:outlineLvl w:val="0"/>
    </w:pPr>
    <w:rPr>
      <w:rFonts w:ascii="Aptos Display" w:eastAsia="Times New Roman" w:hAnsi="Aptos Display"/>
      <w:color w:val="0f4761"/>
      <w:sz w:val="40"/>
      <w:szCs w:val="40"/>
    </w:rPr>
  </w:style>
  <w:style w:type="paragraph" w:styleId="Heading2">
    <w:name w:val="heading 2"/>
    <w:basedOn w:val="Normal"/>
    <w:next w:val="Normal"/>
    <w:uiPriority w:val="9"/>
    <w:semiHidden w:val="1"/>
    <w:unhideWhenUsed w:val="1"/>
    <w:qFormat w:val="1"/>
    <w:pPr>
      <w:keepNext w:val="1"/>
      <w:keepLines w:val="1"/>
      <w:spacing w:after="80" w:before="160"/>
      <w:outlineLvl w:val="1"/>
    </w:pPr>
    <w:rPr>
      <w:rFonts w:ascii="Aptos Display" w:eastAsia="Times New Roman" w:hAnsi="Aptos Display"/>
      <w:color w:val="0f4761"/>
      <w:sz w:val="32"/>
      <w:szCs w:val="32"/>
    </w:rPr>
  </w:style>
  <w:style w:type="paragraph" w:styleId="Heading3">
    <w:name w:val="heading 3"/>
    <w:basedOn w:val="Normal"/>
    <w:next w:val="Normal"/>
    <w:uiPriority w:val="9"/>
    <w:semiHidden w:val="1"/>
    <w:unhideWhenUsed w:val="1"/>
    <w:qFormat w:val="1"/>
    <w:pPr>
      <w:keepNext w:val="1"/>
      <w:keepLines w:val="1"/>
      <w:spacing w:after="80" w:before="160"/>
      <w:outlineLvl w:val="2"/>
    </w:pPr>
    <w:rPr>
      <w:rFonts w:eastAsia="Times New Roman"/>
      <w:color w:val="0f4761"/>
      <w:sz w:val="28"/>
      <w:szCs w:val="28"/>
    </w:rPr>
  </w:style>
  <w:style w:type="paragraph" w:styleId="Heading4">
    <w:name w:val="heading 4"/>
    <w:basedOn w:val="Normal"/>
    <w:next w:val="Normal"/>
    <w:uiPriority w:val="9"/>
    <w:semiHidden w:val="1"/>
    <w:unhideWhenUsed w:val="1"/>
    <w:qFormat w:val="1"/>
    <w:pPr>
      <w:keepNext w:val="1"/>
      <w:keepLines w:val="1"/>
      <w:spacing w:after="40" w:before="80"/>
      <w:outlineLvl w:val="3"/>
    </w:pPr>
    <w:rPr>
      <w:rFonts w:eastAsia="Times New Roman"/>
      <w:i w:val="1"/>
      <w:iCs w:val="1"/>
      <w:color w:val="0f4761"/>
    </w:rPr>
  </w:style>
  <w:style w:type="paragraph" w:styleId="Heading5">
    <w:name w:val="heading 5"/>
    <w:basedOn w:val="Normal"/>
    <w:next w:val="Normal"/>
    <w:uiPriority w:val="9"/>
    <w:semiHidden w:val="1"/>
    <w:unhideWhenUsed w:val="1"/>
    <w:qFormat w:val="1"/>
    <w:pPr>
      <w:keepNext w:val="1"/>
      <w:keepLines w:val="1"/>
      <w:spacing w:after="40" w:before="80"/>
      <w:outlineLvl w:val="4"/>
    </w:pPr>
    <w:rPr>
      <w:rFonts w:eastAsia="Times New Roman"/>
      <w:color w:val="0f4761"/>
    </w:rPr>
  </w:style>
  <w:style w:type="paragraph" w:styleId="Heading6">
    <w:name w:val="heading 6"/>
    <w:basedOn w:val="Normal"/>
    <w:next w:val="Normal"/>
    <w:uiPriority w:val="9"/>
    <w:semiHidden w:val="1"/>
    <w:unhideWhenUsed w:val="1"/>
    <w:qFormat w:val="1"/>
    <w:pPr>
      <w:keepNext w:val="1"/>
      <w:keepLines w:val="1"/>
      <w:spacing w:after="0" w:before="40"/>
      <w:outlineLvl w:val="5"/>
    </w:pPr>
    <w:rPr>
      <w:rFonts w:eastAsia="Times New Roman"/>
      <w:i w:val="1"/>
      <w:iCs w:val="1"/>
      <w:color w:val="595959"/>
    </w:rPr>
  </w:style>
  <w:style w:type="paragraph" w:styleId="Heading7">
    <w:name w:val="heading 7"/>
    <w:basedOn w:val="Normal"/>
    <w:next w:val="Normal"/>
    <w:pPr>
      <w:keepNext w:val="1"/>
      <w:keepLines w:val="1"/>
      <w:spacing w:after="0" w:before="40"/>
      <w:outlineLvl w:val="6"/>
    </w:pPr>
    <w:rPr>
      <w:rFonts w:eastAsia="Times New Roman"/>
      <w:color w:val="595959"/>
    </w:rPr>
  </w:style>
  <w:style w:type="paragraph" w:styleId="Heading8">
    <w:name w:val="heading 8"/>
    <w:basedOn w:val="Normal"/>
    <w:next w:val="Normal"/>
    <w:pPr>
      <w:keepNext w:val="1"/>
      <w:keepLines w:val="1"/>
      <w:spacing w:after="0"/>
      <w:outlineLvl w:val="7"/>
    </w:pPr>
    <w:rPr>
      <w:rFonts w:eastAsia="Times New Roman"/>
      <w:i w:val="1"/>
      <w:iCs w:val="1"/>
      <w:color w:val="272727"/>
    </w:rPr>
  </w:style>
  <w:style w:type="paragraph" w:styleId="Heading9">
    <w:name w:val="heading 9"/>
    <w:basedOn w:val="Normal"/>
    <w:next w:val="Normal"/>
    <w:pPr>
      <w:keepNext w:val="1"/>
      <w:keepLines w:val="1"/>
      <w:spacing w:after="0"/>
      <w:outlineLvl w:val="8"/>
    </w:pPr>
    <w:rPr>
      <w:rFonts w:eastAsia="Times New Roman"/>
      <w:color w:val="272727"/>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character" w:styleId="Heading1Char" w:customStyle="1">
    <w:name w:val="Heading 1 Char"/>
    <w:basedOn w:val="DefaultParagraphFont"/>
    <w:rPr>
      <w:rFonts w:ascii="Aptos Display" w:cs="Times New Roman" w:eastAsia="Times New Roman" w:hAnsi="Aptos Display"/>
      <w:color w:val="0f4761"/>
      <w:sz w:val="40"/>
      <w:szCs w:val="40"/>
    </w:rPr>
  </w:style>
  <w:style w:type="character" w:styleId="Heading2Char" w:customStyle="1">
    <w:name w:val="Heading 2 Char"/>
    <w:basedOn w:val="DefaultParagraphFont"/>
    <w:rPr>
      <w:rFonts w:ascii="Aptos Display" w:cs="Times New Roman" w:eastAsia="Times New Roman" w:hAnsi="Aptos Display"/>
      <w:color w:val="0f4761"/>
      <w:sz w:val="32"/>
      <w:szCs w:val="32"/>
    </w:rPr>
  </w:style>
  <w:style w:type="character" w:styleId="Heading3Char" w:customStyle="1">
    <w:name w:val="Heading 3 Char"/>
    <w:basedOn w:val="DefaultParagraphFont"/>
    <w:rPr>
      <w:rFonts w:cs="Times New Roman" w:eastAsia="Times New Roman"/>
      <w:color w:val="0f4761"/>
      <w:sz w:val="28"/>
      <w:szCs w:val="28"/>
    </w:rPr>
  </w:style>
  <w:style w:type="character" w:styleId="Heading4Char" w:customStyle="1">
    <w:name w:val="Heading 4 Char"/>
    <w:basedOn w:val="DefaultParagraphFont"/>
    <w:rPr>
      <w:rFonts w:cs="Times New Roman" w:eastAsia="Times New Roman"/>
      <w:i w:val="1"/>
      <w:iCs w:val="1"/>
      <w:color w:val="0f4761"/>
    </w:rPr>
  </w:style>
  <w:style w:type="character" w:styleId="Heading5Char" w:customStyle="1">
    <w:name w:val="Heading 5 Char"/>
    <w:basedOn w:val="DefaultParagraphFont"/>
    <w:rPr>
      <w:rFonts w:cs="Times New Roman" w:eastAsia="Times New Roman"/>
      <w:color w:val="0f4761"/>
    </w:rPr>
  </w:style>
  <w:style w:type="character" w:styleId="Heading6Char" w:customStyle="1">
    <w:name w:val="Heading 6 Char"/>
    <w:basedOn w:val="DefaultParagraphFont"/>
    <w:rPr>
      <w:rFonts w:cs="Times New Roman" w:eastAsia="Times New Roman"/>
      <w:i w:val="1"/>
      <w:iCs w:val="1"/>
      <w:color w:val="595959"/>
    </w:rPr>
  </w:style>
  <w:style w:type="character" w:styleId="Heading7Char" w:customStyle="1">
    <w:name w:val="Heading 7 Char"/>
    <w:basedOn w:val="DefaultParagraphFont"/>
    <w:rPr>
      <w:rFonts w:cs="Times New Roman" w:eastAsia="Times New Roman"/>
      <w:color w:val="595959"/>
    </w:rPr>
  </w:style>
  <w:style w:type="character" w:styleId="Heading8Char" w:customStyle="1">
    <w:name w:val="Heading 8 Char"/>
    <w:basedOn w:val="DefaultParagraphFont"/>
    <w:rPr>
      <w:rFonts w:cs="Times New Roman" w:eastAsia="Times New Roman"/>
      <w:i w:val="1"/>
      <w:iCs w:val="1"/>
      <w:color w:val="272727"/>
    </w:rPr>
  </w:style>
  <w:style w:type="character" w:styleId="Heading9Char" w:customStyle="1">
    <w:name w:val="Heading 9 Char"/>
    <w:basedOn w:val="DefaultParagraphFont"/>
    <w:rPr>
      <w:rFonts w:cs="Times New Roman" w:eastAsia="Times New Roman"/>
      <w:color w:val="272727"/>
    </w:rPr>
  </w:style>
  <w:style w:type="paragraph" w:styleId="Title">
    <w:name w:val="Title"/>
    <w:basedOn w:val="Normal"/>
    <w:next w:val="Normal"/>
    <w:uiPriority w:val="10"/>
    <w:qFormat w:val="1"/>
    <w:pPr>
      <w:spacing w:after="80" w:line="240" w:lineRule="auto"/>
      <w:contextualSpacing w:val="1"/>
    </w:pPr>
    <w:rPr>
      <w:rFonts w:ascii="Aptos Display" w:eastAsia="Times New Roman" w:hAnsi="Aptos Display"/>
      <w:spacing w:val="-10"/>
      <w:sz w:val="56"/>
      <w:szCs w:val="56"/>
    </w:rPr>
  </w:style>
  <w:style w:type="character" w:styleId="TitleChar" w:customStyle="1">
    <w:name w:val="Title Char"/>
    <w:basedOn w:val="DefaultParagraphFont"/>
    <w:rPr>
      <w:rFonts w:ascii="Aptos Display" w:cs="Times New Roman" w:eastAsia="Times New Roman" w:hAnsi="Aptos Display"/>
      <w:spacing w:val="-10"/>
      <w:kern w:val="3"/>
      <w:sz w:val="56"/>
      <w:szCs w:val="56"/>
    </w:rPr>
  </w:style>
  <w:style w:type="paragraph" w:styleId="Subtitle">
    <w:name w:val="Subtitle"/>
    <w:basedOn w:val="Normal"/>
    <w:next w:val="Normal"/>
    <w:uiPriority w:val="11"/>
    <w:qFormat w:val="1"/>
    <w:rPr>
      <w:rFonts w:eastAsia="Times New Roman"/>
      <w:color w:val="595959"/>
      <w:spacing w:val="15"/>
      <w:sz w:val="28"/>
      <w:szCs w:val="28"/>
    </w:rPr>
  </w:style>
  <w:style w:type="character" w:styleId="SubtitleChar" w:customStyle="1">
    <w:name w:val="Subtitle Char"/>
    <w:basedOn w:val="DefaultParagraphFont"/>
    <w:rPr>
      <w:rFonts w:cs="Times New Roman" w:eastAsia="Times New Roman"/>
      <w:color w:val="595959"/>
      <w:spacing w:val="15"/>
      <w:sz w:val="28"/>
      <w:szCs w:val="28"/>
    </w:rPr>
  </w:style>
  <w:style w:type="paragraph" w:styleId="Quote">
    <w:name w:val="Quote"/>
    <w:basedOn w:val="Normal"/>
    <w:next w:val="Normal"/>
    <w:pPr>
      <w:spacing w:before="160"/>
      <w:jc w:val="center"/>
    </w:pPr>
    <w:rPr>
      <w:i w:val="1"/>
      <w:iCs w:val="1"/>
      <w:color w:val="404040"/>
    </w:rPr>
  </w:style>
  <w:style w:type="character" w:styleId="QuoteChar" w:customStyle="1">
    <w:name w:val="Quote Char"/>
    <w:basedOn w:val="DefaultParagraphFont"/>
    <w:rPr>
      <w:i w:val="1"/>
      <w:iCs w:val="1"/>
      <w:color w:val="404040"/>
    </w:rPr>
  </w:style>
  <w:style w:type="paragraph" w:styleId="ListParagraph">
    <w:name w:val="List Paragraph"/>
    <w:basedOn w:val="Normal"/>
    <w:pPr>
      <w:ind w:left="720"/>
      <w:contextualSpacing w:val="1"/>
    </w:pPr>
  </w:style>
  <w:style w:type="character" w:styleId="IntenseEmphasis">
    <w:name w:val="Intense Emphasis"/>
    <w:basedOn w:val="DefaultParagraphFont"/>
    <w:rPr>
      <w:i w:val="1"/>
      <w:iCs w:val="1"/>
      <w:color w:val="0f4761"/>
    </w:rPr>
  </w:style>
  <w:style w:type="paragraph" w:styleId="IntenseQuote">
    <w:name w:val="Intense Quote"/>
    <w:basedOn w:val="Normal"/>
    <w:next w:val="Normal"/>
    <w:pPr>
      <w:pBdr>
        <w:top w:color="0f4761" w:space="10" w:sz="4" w:val="single"/>
        <w:bottom w:color="0f4761" w:space="10" w:sz="4" w:val="single"/>
      </w:pBdr>
      <w:spacing w:after="360" w:before="360"/>
      <w:ind w:left="864" w:right="864"/>
      <w:jc w:val="center"/>
    </w:pPr>
    <w:rPr>
      <w:i w:val="1"/>
      <w:iCs w:val="1"/>
      <w:color w:val="0f4761"/>
    </w:rPr>
  </w:style>
  <w:style w:type="character" w:styleId="IntenseQuoteChar" w:customStyle="1">
    <w:name w:val="Intense Quote Char"/>
    <w:basedOn w:val="DefaultParagraphFont"/>
    <w:rPr>
      <w:i w:val="1"/>
      <w:iCs w:val="1"/>
      <w:color w:val="0f4761"/>
    </w:rPr>
  </w:style>
  <w:style w:type="character" w:styleId="IntenseReference">
    <w:name w:val="Intense Reference"/>
    <w:basedOn w:val="DefaultParagraphFont"/>
    <w:rPr>
      <w:b w:val="1"/>
      <w:bCs w:val="1"/>
      <w:smallCaps w:val="1"/>
      <w:color w:val="0f4761"/>
      <w:spacing w:val="5"/>
    </w:rPr>
  </w:style>
  <w:style w:type="character" w:styleId="Hyperlink">
    <w:name w:val="Hyperlink"/>
    <w:basedOn w:val="DefaultParagraphFont"/>
    <w:rPr>
      <w:color w:val="467886"/>
      <w:u w:val="single"/>
    </w:rPr>
  </w:style>
  <w:style w:type="character" w:styleId="UnresolvedMention">
    <w:name w:val="Unresolved Mention"/>
    <w:basedOn w:val="DefaultParagraphFont"/>
    <w:rPr>
      <w:color w:val="605e5c"/>
      <w:shd w:color="auto" w:fill="e1dfdd" w:val="clear"/>
    </w:rPr>
  </w:style>
  <w:style w:type="paragraph" w:styleId="Subtitle">
    <w:name w:val="Subtitle"/>
    <w:basedOn w:val="Normal"/>
    <w:next w:val="Normal"/>
    <w:pPr/>
    <w:rPr>
      <w:color w:val="595959"/>
      <w:sz w:val="28"/>
      <w:szCs w:val="28"/>
    </w:rPr>
  </w:style>
  <w:style w:type="table" w:styleId="Table1">
    <w:basedOn w:val="TableNormal"/>
    <w:tblPr>
      <w:tblStyleRowBandSize w:val="1"/>
      <w:tblStyleColBandSize w:val="1"/>
      <w:tblCellMar>
        <w:top w:w="0.0" w:type="dxa"/>
        <w:left w:w="10.0" w:type="dxa"/>
        <w:bottom w:w="0.0" w:type="dxa"/>
        <w:right w:w="10.0" w:type="dxa"/>
      </w:tblCellMar>
    </w:tblPr>
  </w:style>
  <w:style w:type="table" w:styleId="Table2">
    <w:basedOn w:val="TableNormal"/>
    <w:tblPr>
      <w:tblStyleRowBandSize w:val="1"/>
      <w:tblStyleColBandSize w:val="1"/>
      <w:tblCellMar>
        <w:top w:w="0.0" w:type="dxa"/>
        <w:left w:w="10.0" w:type="dxa"/>
        <w:bottom w:w="0.0" w:type="dxa"/>
        <w:right w:w="1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_rels/fontTable.xml.rels><?xml version="1.0" encoding="UTF-8" standalone="yes"?><Relationships xmlns="http://schemas.openxmlformats.org/package/2006/relationships"><Relationship Id="rId1" Type="http://schemas.openxmlformats.org/officeDocument/2006/relationships/font" Target="fonts/Play-regular.ttf"/><Relationship Id="rId2" Type="http://schemas.openxmlformats.org/officeDocument/2006/relationships/font" Target="fonts/Play-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QMTdxhFSCKoNMrE72Ojlh1xK6LQ==">CgMxLjA4AHIhMS1YTXBMc0xLeVN2WHJaaWNlQ0lwWTBvc1FhMGxfTHdM</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2025-01-21T17:05:00Z</dcterms:created>
  <dc:creator>Matas Gabalas</dc:creator>
</cp:coreProperties>
</file>